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11" w:rsidRDefault="00457111">
      <w:pPr>
        <w:pStyle w:val="Textoindependiente"/>
        <w:spacing w:before="10"/>
        <w:rPr>
          <w:rFonts w:ascii="Times New Roman"/>
          <w:sz w:val="26"/>
        </w:rPr>
      </w:pPr>
    </w:p>
    <w:p w:rsidR="00457111" w:rsidRPr="00471C53" w:rsidRDefault="00F42769">
      <w:pPr>
        <w:spacing w:before="20"/>
        <w:ind w:left="529" w:right="643"/>
        <w:jc w:val="center"/>
        <w:rPr>
          <w:rFonts w:ascii="Arial Narrow" w:hAnsi="Arial Narrow"/>
          <w:b/>
          <w:sz w:val="40"/>
        </w:rPr>
      </w:pPr>
      <w:r w:rsidRPr="00471C53">
        <w:rPr>
          <w:rFonts w:ascii="Arial Narrow" w:hAnsi="Arial Narrow"/>
          <w:b/>
          <w:sz w:val="40"/>
        </w:rPr>
        <w:t>CONVOCATORIA</w:t>
      </w:r>
    </w:p>
    <w:p w:rsidR="00457111" w:rsidRPr="00471C53" w:rsidRDefault="00457111">
      <w:pPr>
        <w:pStyle w:val="Textoindependiente"/>
        <w:spacing w:before="1"/>
        <w:rPr>
          <w:rFonts w:ascii="Arial Narrow" w:hAnsi="Arial Narrow"/>
          <w:b/>
          <w:sz w:val="38"/>
        </w:rPr>
      </w:pPr>
    </w:p>
    <w:p w:rsidR="00457111" w:rsidRPr="00471C53" w:rsidRDefault="00F42769">
      <w:pPr>
        <w:pStyle w:val="Heading1"/>
        <w:spacing w:line="259" w:lineRule="auto"/>
        <w:ind w:left="529" w:right="649"/>
        <w:rPr>
          <w:rFonts w:ascii="Arial Narrow" w:hAnsi="Arial Narrow"/>
        </w:rPr>
      </w:pPr>
      <w:r w:rsidRPr="00471C53">
        <w:rPr>
          <w:rFonts w:ascii="Arial Narrow" w:hAnsi="Arial Narrow"/>
        </w:rPr>
        <w:t>NOMBRAMIENTO DEL PERSONAL CONTRATADO POR SERVICOS PERSONALES EN EL SECTOR PÚBLICO BAJO EL RÉGIMEN DEL DECRETO LEGISLATIVO N° 276</w:t>
      </w:r>
    </w:p>
    <w:p w:rsidR="00457111" w:rsidRDefault="00972BE6" w:rsidP="00A4171D">
      <w:pPr>
        <w:spacing w:before="159" w:line="259" w:lineRule="auto"/>
        <w:ind w:left="118" w:right="229"/>
        <w:jc w:val="both"/>
        <w:rPr>
          <w:rFonts w:ascii="Arial Narrow" w:hAnsi="Arial Narrow"/>
          <w:b/>
          <w:u w:val="single"/>
        </w:rPr>
      </w:pPr>
      <w:r w:rsidRPr="00471C53">
        <w:rPr>
          <w:rFonts w:ascii="Arial Narrow" w:hAnsi="Arial Narrow"/>
        </w:rPr>
        <w:t>La Municipalidad Distrital de Los Olivos ,e</w:t>
      </w:r>
      <w:r w:rsidR="00F42769" w:rsidRPr="00471C53">
        <w:rPr>
          <w:rFonts w:ascii="Arial Narrow" w:hAnsi="Arial Narrow"/>
        </w:rPr>
        <w:t>n el marco de lo dispuesto por la Ley N° 30879, Ley de Presupuesto del Sector Público para el año fiscal 2019, que en su centésima vigésima novena disposición complementaria final, AUTORIZA EXCEPCIONALMENTE, durante el año fiscal 2019, el nombramiento del</w:t>
      </w:r>
      <w:r w:rsidR="00F42769" w:rsidRPr="00471C53">
        <w:rPr>
          <w:rFonts w:ascii="Arial Narrow" w:hAnsi="Arial Narrow"/>
        </w:rPr>
        <w:t xml:space="preserve"> personal administrativo contratado, bajo el régimen laboral del Decreto Legislativo N° 276, Ley de Bases de la Carrera Administrativa y de Remuneraciones del Sector Público y estando a la Resolución de Presidencia Ejecutiva N° 075-2019 SERVIR/PE, emitida </w:t>
      </w:r>
      <w:r w:rsidR="00F42769" w:rsidRPr="00471C53">
        <w:rPr>
          <w:rFonts w:ascii="Arial Narrow" w:hAnsi="Arial Narrow"/>
        </w:rPr>
        <w:t xml:space="preserve">por la Autoridad Nacional del Servicio Civil – SERVIR, mediante la cual resuelve, formalizar el acuerdo de consejo directivo, con el cual se aprueba el “Lineamiento para el Nombramiento del Personal Contratado por Servicios Personales en el Sector Público </w:t>
      </w:r>
      <w:r w:rsidR="00F42769" w:rsidRPr="00471C53">
        <w:rPr>
          <w:rFonts w:ascii="Arial Narrow" w:hAnsi="Arial Narrow"/>
        </w:rPr>
        <w:t xml:space="preserve">bajo el régimen del Decreto Legislativo N° 276, Ley de Bases de la Carrera Administrativa y de Remuneraciones del Sector Público” y </w:t>
      </w:r>
      <w:r w:rsidR="00F42769" w:rsidRPr="00471C53">
        <w:rPr>
          <w:rFonts w:ascii="Arial Narrow" w:hAnsi="Arial Narrow"/>
          <w:b/>
          <w:u w:val="single"/>
        </w:rPr>
        <w:t>Convoca</w:t>
      </w:r>
      <w:r w:rsidR="00A4171D" w:rsidRPr="00471C53">
        <w:rPr>
          <w:rFonts w:ascii="Arial Narrow" w:hAnsi="Arial Narrow"/>
          <w:b/>
          <w:u w:val="single"/>
        </w:rPr>
        <w:t xml:space="preserve"> a todo el personal administrativo contratado por servicios personales para labores de naturaleza permanente, bajo el régimen Decreto Legislativo N° 276, que cumplan con los requisitos para el nombramiento, según el lineamiento establecido, a participar de la convocatoria de acuerdo al siguiente cronograma:</w:t>
      </w:r>
    </w:p>
    <w:p w:rsidR="00BC35BB" w:rsidRPr="00BC35BB" w:rsidRDefault="00BC35BB" w:rsidP="00A4171D">
      <w:pPr>
        <w:spacing w:before="159" w:line="259" w:lineRule="auto"/>
        <w:ind w:left="118" w:right="229"/>
        <w:jc w:val="both"/>
        <w:rPr>
          <w:rFonts w:ascii="Arial Narrow" w:hAnsi="Arial Narrow"/>
          <w:b/>
          <w:u w:val="single"/>
        </w:rPr>
      </w:pPr>
    </w:p>
    <w:p w:rsidR="00BC35BB" w:rsidRPr="00BC35BB" w:rsidRDefault="00BC35BB" w:rsidP="00BC35BB">
      <w:pPr>
        <w:pStyle w:val="Heading2"/>
        <w:spacing w:before="0"/>
        <w:jc w:val="both"/>
        <w:rPr>
          <w:rFonts w:ascii="Arial Narrow" w:hAnsi="Arial Narrow"/>
          <w:u w:val="none"/>
        </w:rPr>
      </w:pPr>
      <w:r w:rsidRPr="00BC35BB">
        <w:rPr>
          <w:rFonts w:ascii="Arial Narrow" w:hAnsi="Arial Narrow"/>
        </w:rPr>
        <w:t>CÓMPUTO DE LOS PERIODOS DE CONTRATACIÓN</w:t>
      </w:r>
      <w:r w:rsidRPr="00BC35BB">
        <w:rPr>
          <w:rFonts w:ascii="Arial Narrow" w:hAnsi="Arial Narrow"/>
          <w:u w:val="none"/>
        </w:rPr>
        <w:t>:</w:t>
      </w:r>
    </w:p>
    <w:p w:rsidR="00BC35BB" w:rsidRPr="00BC35BB" w:rsidRDefault="00BC35BB" w:rsidP="00BC35BB">
      <w:pPr>
        <w:pStyle w:val="Textoindependiente"/>
        <w:spacing w:before="9"/>
        <w:rPr>
          <w:rFonts w:ascii="Arial Narrow" w:hAnsi="Arial Narrow"/>
          <w:b/>
          <w:sz w:val="20"/>
        </w:rPr>
      </w:pPr>
    </w:p>
    <w:p w:rsidR="00BC35BB" w:rsidRPr="00BC35BB" w:rsidRDefault="00BC35BB" w:rsidP="00BC35BB">
      <w:pPr>
        <w:pStyle w:val="Textoindependiente"/>
        <w:spacing w:before="57"/>
        <w:ind w:left="118"/>
        <w:rPr>
          <w:rFonts w:ascii="Arial Narrow" w:hAnsi="Arial Narrow"/>
        </w:rPr>
      </w:pPr>
      <w:r w:rsidRPr="00BC35BB">
        <w:rPr>
          <w:rFonts w:ascii="Arial Narrow" w:hAnsi="Arial Narrow"/>
        </w:rPr>
        <w:t>Para el cómputo del período de contratación, deberá tenerse en cuenta que:</w:t>
      </w:r>
    </w:p>
    <w:p w:rsidR="00BC35BB" w:rsidRPr="00BC35BB" w:rsidRDefault="00BC35BB" w:rsidP="00BC35BB">
      <w:pPr>
        <w:pStyle w:val="Textoindependiente"/>
        <w:spacing w:before="6"/>
        <w:rPr>
          <w:rFonts w:ascii="Arial Narrow" w:hAnsi="Arial Narrow"/>
          <w:sz w:val="25"/>
        </w:rPr>
      </w:pPr>
    </w:p>
    <w:p w:rsidR="00BC35BB" w:rsidRPr="00BC35BB" w:rsidRDefault="00BC35BB" w:rsidP="00BC35BB">
      <w:pPr>
        <w:pStyle w:val="Prrafodelista"/>
        <w:numPr>
          <w:ilvl w:val="0"/>
          <w:numId w:val="4"/>
        </w:numPr>
        <w:tabs>
          <w:tab w:val="left" w:pos="827"/>
        </w:tabs>
        <w:spacing w:before="1" w:line="259" w:lineRule="auto"/>
        <w:ind w:right="235"/>
        <w:jc w:val="both"/>
        <w:rPr>
          <w:rFonts w:ascii="Arial Narrow" w:hAnsi="Arial Narrow"/>
        </w:rPr>
      </w:pPr>
      <w:r w:rsidRPr="00BC35BB">
        <w:rPr>
          <w:rFonts w:ascii="Arial Narrow" w:hAnsi="Arial Narrow"/>
        </w:rPr>
        <w:t>Para efectos del período no menor de tres (03) años de contratación consecutivos, se considerarán los contratos por servicios personales para labores de naturaleza permanente en la misma plaza orgánica presupuestada, bajo el régimen del Decreto Legislativo Nº</w:t>
      </w:r>
      <w:r w:rsidRPr="00BC35BB">
        <w:rPr>
          <w:rFonts w:ascii="Arial Narrow" w:hAnsi="Arial Narrow"/>
          <w:spacing w:val="-18"/>
        </w:rPr>
        <w:t xml:space="preserve"> </w:t>
      </w:r>
      <w:r w:rsidRPr="00BC35BB">
        <w:rPr>
          <w:rFonts w:ascii="Arial Narrow" w:hAnsi="Arial Narrow"/>
        </w:rPr>
        <w:t>276.</w:t>
      </w:r>
    </w:p>
    <w:p w:rsidR="00BC35BB" w:rsidRPr="00BC35BB" w:rsidRDefault="00BC35BB" w:rsidP="00BC35BB">
      <w:pPr>
        <w:pStyle w:val="Textoindependiente"/>
        <w:spacing w:before="8"/>
        <w:rPr>
          <w:rFonts w:ascii="Arial Narrow" w:hAnsi="Arial Narrow"/>
          <w:sz w:val="23"/>
        </w:rPr>
      </w:pPr>
    </w:p>
    <w:p w:rsidR="00BC35BB" w:rsidRPr="00BC35BB" w:rsidRDefault="00BC35BB" w:rsidP="00BC35BB">
      <w:pPr>
        <w:pStyle w:val="Prrafodelista"/>
        <w:numPr>
          <w:ilvl w:val="0"/>
          <w:numId w:val="4"/>
        </w:numPr>
        <w:tabs>
          <w:tab w:val="left" w:pos="827"/>
        </w:tabs>
        <w:spacing w:before="1" w:line="259" w:lineRule="auto"/>
        <w:ind w:right="230"/>
        <w:jc w:val="both"/>
        <w:rPr>
          <w:rFonts w:ascii="Arial Narrow" w:hAnsi="Arial Narrow"/>
        </w:rPr>
      </w:pPr>
      <w:r w:rsidRPr="00BC35BB">
        <w:rPr>
          <w:rFonts w:ascii="Arial Narrow" w:hAnsi="Arial Narrow"/>
        </w:rPr>
        <w:t>Para efectos del período de cuatro (04) años de contratación alternados, se considerarán los contratos por servicios personales para labores de naturaleza permanente en una plaza orgánica presupuestada, siempre que estos hayan sido bajo el régimen del Decreto Legislativo Nº</w:t>
      </w:r>
      <w:r w:rsidRPr="00BC35BB">
        <w:rPr>
          <w:rFonts w:ascii="Arial Narrow" w:hAnsi="Arial Narrow"/>
          <w:spacing w:val="-3"/>
        </w:rPr>
        <w:t xml:space="preserve"> </w:t>
      </w:r>
      <w:r w:rsidRPr="00BC35BB">
        <w:rPr>
          <w:rFonts w:ascii="Arial Narrow" w:hAnsi="Arial Narrow"/>
        </w:rPr>
        <w:t>276.</w:t>
      </w:r>
    </w:p>
    <w:p w:rsidR="00BC35BB" w:rsidRDefault="00BC35BB" w:rsidP="00A4171D">
      <w:pPr>
        <w:spacing w:before="159" w:line="259" w:lineRule="auto"/>
        <w:ind w:left="118" w:right="229"/>
        <w:jc w:val="both"/>
        <w:rPr>
          <w:rFonts w:ascii="Arial Narrow" w:hAnsi="Arial Narrow"/>
          <w:b/>
          <w:u w:val="single"/>
        </w:rPr>
      </w:pPr>
    </w:p>
    <w:p w:rsidR="00BC35BB" w:rsidRDefault="00BC35BB" w:rsidP="00BC35BB">
      <w:pPr>
        <w:spacing w:before="159" w:line="259" w:lineRule="auto"/>
        <w:ind w:left="118" w:right="229"/>
        <w:jc w:val="both"/>
        <w:rPr>
          <w:rFonts w:ascii="Arial Narrow" w:hAnsi="Arial Narrow"/>
          <w:b/>
          <w:u w:val="single"/>
        </w:rPr>
      </w:pPr>
      <w:r>
        <w:rPr>
          <w:rFonts w:ascii="Arial Narrow" w:hAnsi="Arial Narrow"/>
          <w:b/>
          <w:u w:val="single"/>
        </w:rPr>
        <w:t>REQUISITOS:</w:t>
      </w:r>
    </w:p>
    <w:p w:rsidR="00BC35BB" w:rsidRDefault="00BC35BB" w:rsidP="00BC35BB">
      <w:pPr>
        <w:pStyle w:val="Textoindependiente"/>
        <w:spacing w:before="56" w:line="259" w:lineRule="auto"/>
        <w:ind w:left="118" w:right="232"/>
        <w:jc w:val="both"/>
        <w:rPr>
          <w:rFonts w:ascii="Arial Narrow" w:hAnsi="Arial Narrow"/>
        </w:rPr>
      </w:pPr>
      <w:r>
        <w:rPr>
          <w:rFonts w:ascii="Arial Narrow" w:hAnsi="Arial Narrow"/>
        </w:rPr>
        <w:t xml:space="preserve">La Municipalidad Distrital de Los Olivos </w:t>
      </w:r>
      <w:r w:rsidRPr="00BC35BB">
        <w:rPr>
          <w:rFonts w:ascii="Arial Narrow" w:hAnsi="Arial Narrow"/>
        </w:rPr>
        <w:t>invita a los servidores y servidoras a participar de la convocatoria, quienes deberán presentar ante Mesa de Partes y conforme al cronograma, los siguientes documentos:</w:t>
      </w:r>
    </w:p>
    <w:p w:rsidR="00BC35BB" w:rsidRPr="00BC35BB" w:rsidRDefault="00BC35BB" w:rsidP="00BC35BB">
      <w:pPr>
        <w:pStyle w:val="Textoindependiente"/>
        <w:spacing w:before="56" w:line="259" w:lineRule="auto"/>
        <w:ind w:left="118" w:right="232"/>
        <w:jc w:val="both"/>
        <w:rPr>
          <w:rFonts w:ascii="Arial Narrow" w:hAnsi="Arial Narrow"/>
        </w:rPr>
      </w:pPr>
    </w:p>
    <w:p w:rsidR="00BC35BB" w:rsidRDefault="004274DF" w:rsidP="00A4171D">
      <w:pPr>
        <w:spacing w:before="159" w:line="259" w:lineRule="auto"/>
        <w:ind w:left="118" w:right="229"/>
        <w:jc w:val="both"/>
        <w:rPr>
          <w:rFonts w:ascii="Arial Narrow" w:hAnsi="Arial Narrow"/>
        </w:rPr>
      </w:pPr>
      <w:r w:rsidRPr="004274DF">
        <w:rPr>
          <w:rFonts w:ascii="Arial Narrow" w:hAnsi="Arial Narrow"/>
        </w:rPr>
        <w:t>1.</w:t>
      </w:r>
      <w:r>
        <w:rPr>
          <w:rFonts w:ascii="Arial Narrow" w:hAnsi="Arial Narrow"/>
        </w:rPr>
        <w:t xml:space="preserve"> Presentar solicitud de nombramiento, según formato de solicitud-Declaración jurada </w:t>
      </w:r>
      <w:r w:rsidR="007A0FF6">
        <w:rPr>
          <w:rFonts w:ascii="Arial Narrow" w:hAnsi="Arial Narrow"/>
        </w:rPr>
        <w:t>(Anexo</w:t>
      </w:r>
      <w:r>
        <w:rPr>
          <w:rFonts w:ascii="Arial Narrow" w:hAnsi="Arial Narrow"/>
        </w:rPr>
        <w:t xml:space="preserve"> </w:t>
      </w:r>
      <w:r w:rsidR="005A6722">
        <w:rPr>
          <w:rFonts w:ascii="Arial Narrow" w:hAnsi="Arial Narrow"/>
        </w:rPr>
        <w:t>1)</w:t>
      </w:r>
    </w:p>
    <w:p w:rsidR="004274DF" w:rsidRDefault="004274DF" w:rsidP="00A4171D">
      <w:pPr>
        <w:spacing w:before="159" w:line="259" w:lineRule="auto"/>
        <w:ind w:left="118" w:right="229"/>
        <w:jc w:val="both"/>
        <w:rPr>
          <w:rFonts w:ascii="Arial Narrow" w:hAnsi="Arial Narrow"/>
        </w:rPr>
      </w:pPr>
      <w:r>
        <w:rPr>
          <w:rFonts w:ascii="Arial Narrow" w:hAnsi="Arial Narrow"/>
        </w:rPr>
        <w:t>2. Cumplir con los periodos de contratación establecidos en el numeral  3.2.2 del presente lineamiento.</w:t>
      </w:r>
    </w:p>
    <w:p w:rsidR="004274DF" w:rsidRPr="004274DF" w:rsidRDefault="004274DF" w:rsidP="00A4171D">
      <w:pPr>
        <w:spacing w:before="159" w:line="259" w:lineRule="auto"/>
        <w:ind w:left="118" w:right="229"/>
        <w:jc w:val="both"/>
        <w:rPr>
          <w:rFonts w:ascii="Arial Narrow" w:hAnsi="Arial Narrow"/>
        </w:rPr>
      </w:pPr>
      <w:r>
        <w:rPr>
          <w:rFonts w:ascii="Arial Narrow" w:hAnsi="Arial Narrow"/>
        </w:rPr>
        <w:t xml:space="preserve">3. Cumplir con el perfil del cargo y los requisitos propios de la plaza orgánica en la que solicita ser nombrado. Para tal efecto deberá entregar el formato currículo vitae </w:t>
      </w:r>
      <w:r w:rsidR="007A0FF6">
        <w:rPr>
          <w:rFonts w:ascii="Arial Narrow" w:hAnsi="Arial Narrow"/>
        </w:rPr>
        <w:t>(Anexo</w:t>
      </w:r>
      <w:r>
        <w:rPr>
          <w:rFonts w:ascii="Arial Narrow" w:hAnsi="Arial Narrow"/>
        </w:rPr>
        <w:t xml:space="preserve"> 2)</w:t>
      </w:r>
    </w:p>
    <w:p w:rsidR="00BC35BB" w:rsidRDefault="00BC35BB" w:rsidP="00A4171D">
      <w:pPr>
        <w:spacing w:before="159" w:line="259" w:lineRule="auto"/>
        <w:ind w:left="118" w:right="229"/>
        <w:jc w:val="both"/>
        <w:rPr>
          <w:rFonts w:ascii="Arial Narrow" w:hAnsi="Arial Narrow"/>
          <w:b/>
          <w:u w:val="single"/>
        </w:rPr>
      </w:pPr>
    </w:p>
    <w:p w:rsidR="00BC35BB" w:rsidRDefault="00BC35BB" w:rsidP="00A4171D">
      <w:pPr>
        <w:spacing w:before="159" w:line="259" w:lineRule="auto"/>
        <w:ind w:left="118" w:right="229"/>
        <w:jc w:val="both"/>
        <w:rPr>
          <w:rFonts w:ascii="Arial Narrow" w:hAnsi="Arial Narrow"/>
          <w:b/>
          <w:u w:val="single"/>
        </w:rPr>
      </w:pPr>
    </w:p>
    <w:p w:rsidR="00BC35BB" w:rsidRDefault="00BC35BB" w:rsidP="00A4171D">
      <w:pPr>
        <w:spacing w:before="159" w:line="259" w:lineRule="auto"/>
        <w:ind w:left="118" w:right="229"/>
        <w:jc w:val="both"/>
        <w:rPr>
          <w:rFonts w:ascii="Arial Narrow" w:hAnsi="Arial Narrow"/>
          <w:b/>
          <w:u w:val="single"/>
        </w:rPr>
      </w:pPr>
    </w:p>
    <w:p w:rsidR="00BC35BB" w:rsidRDefault="00BC35BB" w:rsidP="00A4171D">
      <w:pPr>
        <w:spacing w:before="159" w:line="259" w:lineRule="auto"/>
        <w:ind w:left="118" w:right="229"/>
        <w:jc w:val="both"/>
        <w:rPr>
          <w:rFonts w:ascii="Arial Narrow" w:hAnsi="Arial Narrow"/>
          <w:b/>
          <w:u w:val="single"/>
        </w:rPr>
      </w:pPr>
    </w:p>
    <w:p w:rsidR="00BC35BB" w:rsidRDefault="00BC35BB" w:rsidP="00A4171D">
      <w:pPr>
        <w:spacing w:before="159" w:line="259" w:lineRule="auto"/>
        <w:ind w:left="118" w:right="229"/>
        <w:jc w:val="both"/>
        <w:rPr>
          <w:rFonts w:ascii="Arial Narrow" w:hAnsi="Arial Narrow"/>
          <w:b/>
          <w:u w:val="single"/>
        </w:rPr>
      </w:pPr>
    </w:p>
    <w:p w:rsidR="00BC35BB" w:rsidRDefault="00BC35BB" w:rsidP="00A4171D">
      <w:pPr>
        <w:spacing w:before="159" w:line="259" w:lineRule="auto"/>
        <w:ind w:left="118" w:right="229"/>
        <w:jc w:val="both"/>
        <w:rPr>
          <w:rFonts w:ascii="Arial Narrow" w:hAnsi="Arial Narrow"/>
          <w:b/>
          <w:u w:val="single"/>
        </w:rPr>
      </w:pPr>
    </w:p>
    <w:p w:rsidR="00A4171D" w:rsidRPr="00471C53" w:rsidRDefault="00A4171D" w:rsidP="00BC35BB">
      <w:pPr>
        <w:spacing w:before="159" w:line="259" w:lineRule="auto"/>
        <w:ind w:right="229"/>
        <w:jc w:val="both"/>
        <w:rPr>
          <w:rFonts w:ascii="Arial Narrow" w:hAnsi="Arial Narrow"/>
          <w:b/>
          <w:u w:val="single"/>
        </w:rPr>
      </w:pPr>
    </w:p>
    <w:p w:rsidR="00A4171D" w:rsidRPr="00471C53" w:rsidRDefault="00A4171D" w:rsidP="00A4171D">
      <w:pPr>
        <w:pStyle w:val="Heading1"/>
        <w:spacing w:before="1"/>
        <w:ind w:left="0"/>
        <w:jc w:val="both"/>
        <w:rPr>
          <w:rFonts w:ascii="Arial Narrow" w:hAnsi="Arial Narrow"/>
        </w:rPr>
      </w:pPr>
      <w:r w:rsidRPr="00471C53">
        <w:rPr>
          <w:rFonts w:ascii="Arial Narrow" w:hAnsi="Arial Narrow"/>
          <w:u w:val="thick"/>
        </w:rPr>
        <w:t>CRONOGRAMA DEL PROCESO DE NOMBRAMIENTO</w:t>
      </w:r>
      <w:r w:rsidRPr="00471C53">
        <w:rPr>
          <w:rFonts w:ascii="Arial Narrow" w:hAnsi="Arial Narrow"/>
        </w:rPr>
        <w:t>:</w:t>
      </w:r>
    </w:p>
    <w:p w:rsidR="00471C53" w:rsidRDefault="00471C53" w:rsidP="00A4171D">
      <w:pPr>
        <w:spacing w:before="159" w:line="259" w:lineRule="auto"/>
        <w:ind w:left="118" w:right="229"/>
        <w:jc w:val="both"/>
        <w:rPr>
          <w:b/>
          <w:u w:val="single"/>
        </w:rPr>
      </w:pPr>
    </w:p>
    <w:tbl>
      <w:tblPr>
        <w:tblStyle w:val="TableNormal"/>
        <w:tblpPr w:leftFromText="141" w:rightFromText="141" w:vertAnchor="text" w:horzAnchor="margin" w:tblpY="156"/>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
        <w:gridCol w:w="3509"/>
        <w:gridCol w:w="5528"/>
      </w:tblGrid>
      <w:tr w:rsidR="00BC35BB" w:rsidRPr="00471C53" w:rsidTr="00CE6F66">
        <w:trPr>
          <w:trHeight w:val="493"/>
        </w:trPr>
        <w:tc>
          <w:tcPr>
            <w:tcW w:w="607" w:type="dxa"/>
            <w:shd w:val="clear" w:color="auto" w:fill="F1F1F1"/>
          </w:tcPr>
          <w:p w:rsidR="00BC35BB" w:rsidRPr="00471C53" w:rsidRDefault="00BC35BB" w:rsidP="00BC35BB">
            <w:pPr>
              <w:pStyle w:val="TableParagraph"/>
              <w:spacing w:before="100"/>
              <w:ind w:left="182"/>
              <w:rPr>
                <w:rFonts w:ascii="Arial Narrow" w:hAnsi="Arial Narrow"/>
                <w:b/>
              </w:rPr>
            </w:pPr>
            <w:r w:rsidRPr="00471C53">
              <w:rPr>
                <w:rFonts w:ascii="Arial Narrow" w:hAnsi="Arial Narrow"/>
                <w:b/>
              </w:rPr>
              <w:t>N°</w:t>
            </w:r>
          </w:p>
        </w:tc>
        <w:tc>
          <w:tcPr>
            <w:tcW w:w="3509" w:type="dxa"/>
            <w:shd w:val="clear" w:color="auto" w:fill="F1F1F1"/>
          </w:tcPr>
          <w:p w:rsidR="00BC35BB" w:rsidRPr="00471C53" w:rsidRDefault="00CE6F66" w:rsidP="00CE6F66">
            <w:pPr>
              <w:pStyle w:val="TableParagraph"/>
              <w:spacing w:before="100"/>
              <w:ind w:left="0" w:right="1661"/>
              <w:jc w:val="center"/>
              <w:rPr>
                <w:rFonts w:ascii="Arial Narrow" w:hAnsi="Arial Narrow"/>
                <w:b/>
              </w:rPr>
            </w:pPr>
            <w:r>
              <w:rPr>
                <w:rFonts w:ascii="Arial Narrow" w:hAnsi="Arial Narrow"/>
                <w:b/>
              </w:rPr>
              <w:t xml:space="preserve">         </w:t>
            </w:r>
            <w:r w:rsidR="00BC35BB" w:rsidRPr="00471C53">
              <w:rPr>
                <w:rFonts w:ascii="Arial Narrow" w:hAnsi="Arial Narrow"/>
                <w:b/>
              </w:rPr>
              <w:t>ACTIVIDAD</w:t>
            </w:r>
          </w:p>
        </w:tc>
        <w:tc>
          <w:tcPr>
            <w:tcW w:w="5528" w:type="dxa"/>
            <w:shd w:val="clear" w:color="auto" w:fill="F1F1F1"/>
          </w:tcPr>
          <w:p w:rsidR="00BC35BB" w:rsidRPr="00471C53" w:rsidRDefault="00BC35BB" w:rsidP="00BC35BB">
            <w:pPr>
              <w:pStyle w:val="TableParagraph"/>
              <w:spacing w:before="100"/>
              <w:ind w:left="408" w:right="405"/>
              <w:jc w:val="center"/>
              <w:rPr>
                <w:rFonts w:ascii="Arial Narrow" w:hAnsi="Arial Narrow"/>
                <w:b/>
              </w:rPr>
            </w:pPr>
            <w:r w:rsidRPr="00471C53">
              <w:rPr>
                <w:rFonts w:ascii="Arial Narrow" w:hAnsi="Arial Narrow"/>
                <w:b/>
              </w:rPr>
              <w:t>FECHA DE INICIO Y TÉRMINO</w:t>
            </w:r>
          </w:p>
        </w:tc>
      </w:tr>
      <w:tr w:rsidR="00BC35BB" w:rsidRPr="00471C53" w:rsidTr="00CE6F66">
        <w:trPr>
          <w:trHeight w:val="676"/>
        </w:trPr>
        <w:tc>
          <w:tcPr>
            <w:tcW w:w="607" w:type="dxa"/>
          </w:tcPr>
          <w:p w:rsidR="00BC35BB" w:rsidRPr="00471C53" w:rsidRDefault="00BC35BB" w:rsidP="00BC35BB">
            <w:pPr>
              <w:pStyle w:val="TableParagraph"/>
              <w:ind w:left="182"/>
              <w:rPr>
                <w:rFonts w:ascii="Arial Narrow" w:hAnsi="Arial Narrow"/>
              </w:rPr>
            </w:pPr>
            <w:r w:rsidRPr="00471C53">
              <w:rPr>
                <w:rFonts w:ascii="Arial Narrow" w:hAnsi="Arial Narrow"/>
              </w:rPr>
              <w:t>01</w:t>
            </w:r>
          </w:p>
        </w:tc>
        <w:tc>
          <w:tcPr>
            <w:tcW w:w="3509" w:type="dxa"/>
          </w:tcPr>
          <w:p w:rsidR="00BC35BB" w:rsidRPr="00471C53" w:rsidRDefault="00BC35BB" w:rsidP="00BC35BB">
            <w:pPr>
              <w:pStyle w:val="TableParagraph"/>
              <w:rPr>
                <w:rFonts w:ascii="Arial Narrow" w:hAnsi="Arial Narrow"/>
                <w:b/>
              </w:rPr>
            </w:pPr>
            <w:r w:rsidRPr="00471C53">
              <w:rPr>
                <w:rFonts w:ascii="Arial Narrow" w:hAnsi="Arial Narrow"/>
                <w:b/>
              </w:rPr>
              <w:t>Convocatoria y Publicación de Cronograma</w:t>
            </w:r>
          </w:p>
        </w:tc>
        <w:tc>
          <w:tcPr>
            <w:tcW w:w="5528" w:type="dxa"/>
          </w:tcPr>
          <w:p w:rsidR="00BC35BB" w:rsidRPr="00471C53" w:rsidRDefault="00CE6F66" w:rsidP="00CE6F66">
            <w:pPr>
              <w:pStyle w:val="TableParagraph"/>
              <w:ind w:left="414" w:right="405"/>
              <w:jc w:val="center"/>
              <w:rPr>
                <w:rFonts w:ascii="Arial Narrow" w:hAnsi="Arial Narrow"/>
                <w:b/>
              </w:rPr>
            </w:pPr>
            <w:r>
              <w:rPr>
                <w:rFonts w:ascii="Arial Narrow" w:hAnsi="Arial Narrow"/>
                <w:b/>
              </w:rPr>
              <w:t>j</w:t>
            </w:r>
            <w:r w:rsidR="00BC35BB" w:rsidRPr="00471C53">
              <w:rPr>
                <w:rFonts w:ascii="Arial Narrow" w:hAnsi="Arial Narrow"/>
                <w:b/>
              </w:rPr>
              <w:t>ueves 28 de noviembre de 2019</w:t>
            </w:r>
          </w:p>
        </w:tc>
      </w:tr>
      <w:tr w:rsidR="00BC35BB" w:rsidRPr="00471C53" w:rsidTr="00CE6F66">
        <w:trPr>
          <w:trHeight w:val="878"/>
        </w:trPr>
        <w:tc>
          <w:tcPr>
            <w:tcW w:w="607" w:type="dxa"/>
          </w:tcPr>
          <w:p w:rsidR="00BC35BB" w:rsidRPr="00471C53" w:rsidRDefault="00BC35BB" w:rsidP="00BC35BB">
            <w:pPr>
              <w:pStyle w:val="TableParagraph"/>
              <w:spacing w:before="11"/>
              <w:ind w:left="0"/>
              <w:rPr>
                <w:rFonts w:ascii="Arial Narrow" w:hAnsi="Arial Narrow"/>
                <w:b/>
              </w:rPr>
            </w:pPr>
          </w:p>
          <w:p w:rsidR="00BC35BB" w:rsidRPr="00471C53" w:rsidRDefault="00BC35BB" w:rsidP="00BC35BB">
            <w:pPr>
              <w:pStyle w:val="TableParagraph"/>
              <w:spacing w:before="0"/>
              <w:ind w:left="182"/>
              <w:rPr>
                <w:rFonts w:ascii="Arial Narrow" w:hAnsi="Arial Narrow"/>
              </w:rPr>
            </w:pPr>
            <w:r w:rsidRPr="00471C53">
              <w:rPr>
                <w:rFonts w:ascii="Arial Narrow" w:hAnsi="Arial Narrow"/>
              </w:rPr>
              <w:t>02</w:t>
            </w:r>
          </w:p>
        </w:tc>
        <w:tc>
          <w:tcPr>
            <w:tcW w:w="3509" w:type="dxa"/>
          </w:tcPr>
          <w:p w:rsidR="00BC35BB" w:rsidRPr="00471C53" w:rsidRDefault="00CE6F66" w:rsidP="00CE6F66">
            <w:pPr>
              <w:pStyle w:val="TableParagraph"/>
              <w:tabs>
                <w:tab w:val="left" w:pos="1865"/>
                <w:tab w:val="left" w:pos="2599"/>
                <w:tab w:val="left" w:pos="4137"/>
              </w:tabs>
              <w:spacing w:before="0" w:line="293" w:lineRule="exact"/>
              <w:jc w:val="both"/>
              <w:rPr>
                <w:rFonts w:ascii="Arial Narrow" w:hAnsi="Arial Narrow"/>
                <w:b/>
              </w:rPr>
            </w:pPr>
            <w:r>
              <w:rPr>
                <w:rFonts w:ascii="Arial Narrow" w:hAnsi="Arial Narrow"/>
                <w:b/>
              </w:rPr>
              <w:t xml:space="preserve">Presentación de </w:t>
            </w:r>
            <w:r w:rsidR="00BC35BB" w:rsidRPr="00471C53">
              <w:rPr>
                <w:rFonts w:ascii="Arial Narrow" w:hAnsi="Arial Narrow"/>
                <w:b/>
              </w:rPr>
              <w:t>Solicitudes</w:t>
            </w:r>
            <w:r w:rsidR="00BC35BB" w:rsidRPr="00471C53">
              <w:rPr>
                <w:rFonts w:ascii="Arial Narrow" w:hAnsi="Arial Narrow"/>
                <w:b/>
              </w:rPr>
              <w:tab/>
              <w:t>de</w:t>
            </w:r>
          </w:p>
          <w:p w:rsidR="00BC35BB" w:rsidRPr="00471C53" w:rsidRDefault="00BC35BB" w:rsidP="00CE6F66">
            <w:pPr>
              <w:pStyle w:val="TableParagraph"/>
              <w:spacing w:before="0" w:line="290" w:lineRule="atLeast"/>
              <w:jc w:val="both"/>
              <w:rPr>
                <w:rFonts w:ascii="Arial Narrow" w:hAnsi="Arial Narrow"/>
                <w:b/>
              </w:rPr>
            </w:pPr>
            <w:r w:rsidRPr="00471C53">
              <w:rPr>
                <w:rFonts w:ascii="Arial Narrow" w:hAnsi="Arial Narrow"/>
                <w:b/>
              </w:rPr>
              <w:t>Nombramiento a través de Mesa de Partes de la Municipalidad Distrital de Los Olivos</w:t>
            </w:r>
          </w:p>
        </w:tc>
        <w:tc>
          <w:tcPr>
            <w:tcW w:w="5528" w:type="dxa"/>
          </w:tcPr>
          <w:p w:rsidR="00BC35BB" w:rsidRPr="00471C53" w:rsidRDefault="00CE6F66" w:rsidP="00CE6F66">
            <w:pPr>
              <w:pStyle w:val="TableParagraph"/>
              <w:spacing w:before="146"/>
              <w:ind w:left="213" w:right="186" w:firstLine="300"/>
              <w:jc w:val="center"/>
              <w:rPr>
                <w:rFonts w:ascii="Arial Narrow" w:hAnsi="Arial Narrow"/>
                <w:b/>
              </w:rPr>
            </w:pPr>
            <w:r>
              <w:rPr>
                <w:rFonts w:ascii="Arial Narrow" w:hAnsi="Arial Narrow"/>
                <w:b/>
              </w:rPr>
              <w:t>v</w:t>
            </w:r>
            <w:r w:rsidR="00BC35BB" w:rsidRPr="00471C53">
              <w:rPr>
                <w:rFonts w:ascii="Arial Narrow" w:hAnsi="Arial Narrow"/>
                <w:b/>
              </w:rPr>
              <w:t>ierne</w:t>
            </w:r>
            <w:r w:rsidR="00AA70CE">
              <w:rPr>
                <w:rFonts w:ascii="Arial Narrow" w:hAnsi="Arial Narrow"/>
                <w:b/>
              </w:rPr>
              <w:t xml:space="preserve">s </w:t>
            </w:r>
            <w:r w:rsidR="00BC35BB" w:rsidRPr="00471C53">
              <w:rPr>
                <w:rFonts w:ascii="Arial Narrow" w:hAnsi="Arial Narrow"/>
                <w:b/>
              </w:rPr>
              <w:t xml:space="preserve">29 de </w:t>
            </w:r>
            <w:r w:rsidR="005A6722" w:rsidRPr="00471C53">
              <w:rPr>
                <w:rFonts w:ascii="Arial Narrow" w:hAnsi="Arial Narrow"/>
                <w:b/>
              </w:rPr>
              <w:t>noviem</w:t>
            </w:r>
            <w:r w:rsidR="005A6722">
              <w:rPr>
                <w:rFonts w:ascii="Arial Narrow" w:hAnsi="Arial Narrow"/>
                <w:b/>
              </w:rPr>
              <w:t>bre, lunes 02 y martes</w:t>
            </w:r>
            <w:r w:rsidR="00BC35BB" w:rsidRPr="00471C53">
              <w:rPr>
                <w:rFonts w:ascii="Arial Narrow" w:hAnsi="Arial Narrow"/>
                <w:b/>
              </w:rPr>
              <w:t xml:space="preserve"> 03 de diciembre de 2019</w:t>
            </w:r>
          </w:p>
        </w:tc>
      </w:tr>
      <w:tr w:rsidR="00BC35BB" w:rsidRPr="00471C53" w:rsidTr="00CE6F66">
        <w:trPr>
          <w:trHeight w:val="690"/>
        </w:trPr>
        <w:tc>
          <w:tcPr>
            <w:tcW w:w="607" w:type="dxa"/>
          </w:tcPr>
          <w:p w:rsidR="00BC35BB" w:rsidRPr="00471C53" w:rsidRDefault="00BC35BB" w:rsidP="00BC35BB">
            <w:pPr>
              <w:pStyle w:val="TableParagraph"/>
              <w:spacing w:before="198"/>
              <w:ind w:left="182"/>
              <w:rPr>
                <w:rFonts w:ascii="Arial Narrow" w:hAnsi="Arial Narrow"/>
              </w:rPr>
            </w:pPr>
            <w:r w:rsidRPr="00471C53">
              <w:rPr>
                <w:rFonts w:ascii="Arial Narrow" w:hAnsi="Arial Narrow"/>
              </w:rPr>
              <w:t>03</w:t>
            </w:r>
          </w:p>
        </w:tc>
        <w:tc>
          <w:tcPr>
            <w:tcW w:w="3509" w:type="dxa"/>
          </w:tcPr>
          <w:p w:rsidR="00BC35BB" w:rsidRPr="00471C53" w:rsidRDefault="00BC35BB" w:rsidP="00BC35BB">
            <w:pPr>
              <w:pStyle w:val="TableParagraph"/>
              <w:spacing w:before="52"/>
              <w:rPr>
                <w:rFonts w:ascii="Arial Narrow" w:hAnsi="Arial Narrow"/>
                <w:b/>
              </w:rPr>
            </w:pPr>
            <w:r w:rsidRPr="00471C53">
              <w:rPr>
                <w:rFonts w:ascii="Arial Narrow" w:hAnsi="Arial Narrow"/>
                <w:b/>
              </w:rPr>
              <w:t>Evaluación y Verificación del Cumplimiento de Requisitos</w:t>
            </w:r>
          </w:p>
        </w:tc>
        <w:tc>
          <w:tcPr>
            <w:tcW w:w="5528" w:type="dxa"/>
          </w:tcPr>
          <w:p w:rsidR="00BC35BB" w:rsidRPr="00471C53" w:rsidRDefault="00CE6F66" w:rsidP="00CE6F66">
            <w:pPr>
              <w:pStyle w:val="TableParagraph"/>
              <w:spacing w:before="52"/>
              <w:ind w:left="857" w:right="479" w:hanging="351"/>
              <w:jc w:val="center"/>
              <w:rPr>
                <w:rFonts w:ascii="Arial Narrow" w:hAnsi="Arial Narrow"/>
                <w:b/>
              </w:rPr>
            </w:pPr>
            <w:r>
              <w:rPr>
                <w:rFonts w:ascii="Arial Narrow" w:hAnsi="Arial Narrow"/>
                <w:b/>
              </w:rPr>
              <w:t xml:space="preserve">Del </w:t>
            </w:r>
            <w:r w:rsidR="004274DF">
              <w:rPr>
                <w:rFonts w:ascii="Arial Narrow" w:hAnsi="Arial Narrow"/>
                <w:b/>
              </w:rPr>
              <w:t>04</w:t>
            </w:r>
            <w:r w:rsidR="005A6722">
              <w:rPr>
                <w:rFonts w:ascii="Arial Narrow" w:hAnsi="Arial Narrow"/>
                <w:b/>
              </w:rPr>
              <w:t xml:space="preserve">  a</w:t>
            </w:r>
            <w:r w:rsidR="00BC35BB" w:rsidRPr="00471C53">
              <w:rPr>
                <w:rFonts w:ascii="Arial Narrow" w:hAnsi="Arial Narrow"/>
                <w:b/>
              </w:rPr>
              <w:t>l 11 de diciembre del 2019</w:t>
            </w:r>
          </w:p>
        </w:tc>
      </w:tr>
      <w:tr w:rsidR="00BC35BB" w:rsidRPr="00471C53" w:rsidTr="00CE6F66">
        <w:trPr>
          <w:trHeight w:val="554"/>
        </w:trPr>
        <w:tc>
          <w:tcPr>
            <w:tcW w:w="607" w:type="dxa"/>
          </w:tcPr>
          <w:p w:rsidR="00BC35BB" w:rsidRPr="00471C53" w:rsidRDefault="00BC35BB" w:rsidP="00BC35BB">
            <w:pPr>
              <w:pStyle w:val="TableParagraph"/>
              <w:spacing w:before="131"/>
              <w:ind w:left="182"/>
              <w:rPr>
                <w:rFonts w:ascii="Arial Narrow" w:hAnsi="Arial Narrow"/>
              </w:rPr>
            </w:pPr>
            <w:r w:rsidRPr="00471C53">
              <w:rPr>
                <w:rFonts w:ascii="Arial Narrow" w:hAnsi="Arial Narrow"/>
              </w:rPr>
              <w:t>04</w:t>
            </w:r>
          </w:p>
        </w:tc>
        <w:tc>
          <w:tcPr>
            <w:tcW w:w="3509" w:type="dxa"/>
          </w:tcPr>
          <w:p w:rsidR="00BC35BB" w:rsidRPr="00471C53" w:rsidRDefault="00BC35BB" w:rsidP="00BC35BB">
            <w:pPr>
              <w:pStyle w:val="TableParagraph"/>
              <w:spacing w:before="131"/>
              <w:rPr>
                <w:rFonts w:ascii="Arial Narrow" w:hAnsi="Arial Narrow"/>
                <w:b/>
              </w:rPr>
            </w:pPr>
            <w:r w:rsidRPr="00471C53">
              <w:rPr>
                <w:rFonts w:ascii="Arial Narrow" w:hAnsi="Arial Narrow"/>
                <w:b/>
              </w:rPr>
              <w:t>Publicación del Cuadro Final</w:t>
            </w:r>
          </w:p>
        </w:tc>
        <w:tc>
          <w:tcPr>
            <w:tcW w:w="5528" w:type="dxa"/>
          </w:tcPr>
          <w:p w:rsidR="00BC35BB" w:rsidRPr="00471C53" w:rsidRDefault="00CE6F66" w:rsidP="00CE6F66">
            <w:pPr>
              <w:pStyle w:val="TableParagraph"/>
              <w:spacing w:before="131"/>
              <w:ind w:left="415" w:right="405"/>
              <w:jc w:val="center"/>
              <w:rPr>
                <w:rFonts w:ascii="Arial Narrow" w:hAnsi="Arial Narrow"/>
                <w:b/>
              </w:rPr>
            </w:pPr>
            <w:r>
              <w:rPr>
                <w:rFonts w:ascii="Arial Narrow" w:hAnsi="Arial Narrow"/>
                <w:b/>
              </w:rPr>
              <w:t>jueves 12, viernes 13 y lunes</w:t>
            </w:r>
            <w:r w:rsidR="00BC35BB" w:rsidRPr="00471C53">
              <w:rPr>
                <w:rFonts w:ascii="Arial Narrow" w:hAnsi="Arial Narrow"/>
                <w:b/>
              </w:rPr>
              <w:t xml:space="preserve"> 16 de diciembre de  2019</w:t>
            </w:r>
          </w:p>
        </w:tc>
      </w:tr>
      <w:tr w:rsidR="00BC35BB" w:rsidRPr="00471C53" w:rsidTr="00CE6F66">
        <w:trPr>
          <w:trHeight w:val="676"/>
        </w:trPr>
        <w:tc>
          <w:tcPr>
            <w:tcW w:w="607" w:type="dxa"/>
          </w:tcPr>
          <w:p w:rsidR="00BC35BB" w:rsidRPr="00471C53" w:rsidRDefault="00BC35BB" w:rsidP="00BC35BB">
            <w:pPr>
              <w:pStyle w:val="TableParagraph"/>
              <w:ind w:left="182"/>
              <w:rPr>
                <w:rFonts w:ascii="Arial Narrow" w:hAnsi="Arial Narrow"/>
              </w:rPr>
            </w:pPr>
            <w:r w:rsidRPr="00471C53">
              <w:rPr>
                <w:rFonts w:ascii="Arial Narrow" w:hAnsi="Arial Narrow"/>
              </w:rPr>
              <w:t>05</w:t>
            </w:r>
          </w:p>
        </w:tc>
        <w:tc>
          <w:tcPr>
            <w:tcW w:w="3509" w:type="dxa"/>
          </w:tcPr>
          <w:p w:rsidR="00BC35BB" w:rsidRPr="00471C53" w:rsidRDefault="00BC35BB" w:rsidP="00BC35BB">
            <w:pPr>
              <w:pStyle w:val="TableParagraph"/>
              <w:spacing w:before="45"/>
              <w:rPr>
                <w:rFonts w:ascii="Arial Narrow" w:hAnsi="Arial Narrow"/>
                <w:b/>
              </w:rPr>
            </w:pPr>
            <w:r w:rsidRPr="00471C53">
              <w:rPr>
                <w:rFonts w:ascii="Arial Narrow" w:hAnsi="Arial Narrow"/>
                <w:b/>
              </w:rPr>
              <w:t>Emisión de Resolución por el titular de la entidad.</w:t>
            </w:r>
          </w:p>
        </w:tc>
        <w:tc>
          <w:tcPr>
            <w:tcW w:w="5528" w:type="dxa"/>
          </w:tcPr>
          <w:p w:rsidR="00BC35BB" w:rsidRPr="00471C53" w:rsidRDefault="00CE6F66" w:rsidP="00CE6F66">
            <w:pPr>
              <w:pStyle w:val="TableParagraph"/>
              <w:spacing w:before="131"/>
              <w:ind w:left="415" w:right="405"/>
              <w:jc w:val="center"/>
              <w:rPr>
                <w:rFonts w:ascii="Arial Narrow" w:hAnsi="Arial Narrow"/>
                <w:b/>
              </w:rPr>
            </w:pPr>
            <w:r>
              <w:rPr>
                <w:rFonts w:ascii="Arial Narrow" w:hAnsi="Arial Narrow"/>
                <w:b/>
              </w:rPr>
              <w:t>Del</w:t>
            </w:r>
            <w:r w:rsidR="005A6722">
              <w:rPr>
                <w:rFonts w:ascii="Arial Narrow" w:hAnsi="Arial Narrow"/>
                <w:b/>
              </w:rPr>
              <w:t xml:space="preserve"> 17 </w:t>
            </w:r>
            <w:r w:rsidR="004274DF">
              <w:rPr>
                <w:rFonts w:ascii="Arial Narrow" w:hAnsi="Arial Narrow"/>
                <w:b/>
              </w:rPr>
              <w:t xml:space="preserve"> al 19 de diciembre</w:t>
            </w:r>
            <w:r w:rsidR="00BC35BB" w:rsidRPr="00471C53">
              <w:rPr>
                <w:rFonts w:ascii="Arial Narrow" w:hAnsi="Arial Narrow"/>
                <w:b/>
              </w:rPr>
              <w:t xml:space="preserve"> de 2019</w:t>
            </w:r>
          </w:p>
        </w:tc>
      </w:tr>
    </w:tbl>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Default="00471C53" w:rsidP="00471C53"/>
    <w:p w:rsidR="00BC35BB" w:rsidRDefault="00BC35BB" w:rsidP="00471C53"/>
    <w:p w:rsidR="00BC35BB" w:rsidRDefault="00BC35BB" w:rsidP="00471C53"/>
    <w:p w:rsidR="00BC35BB" w:rsidRDefault="00BC35BB" w:rsidP="00471C53"/>
    <w:p w:rsidR="00BC35BB" w:rsidRDefault="00BC35BB" w:rsidP="00471C53"/>
    <w:p w:rsidR="00BC35BB" w:rsidRDefault="00BC35BB" w:rsidP="00471C53"/>
    <w:p w:rsidR="00BC35BB" w:rsidRDefault="00BC35BB" w:rsidP="00471C53"/>
    <w:p w:rsidR="00BC35BB" w:rsidRPr="00471C53" w:rsidRDefault="00BC35BB" w:rsidP="00471C53"/>
    <w:p w:rsidR="00471C53" w:rsidRPr="00471C53" w:rsidRDefault="00471C53" w:rsidP="00471C53">
      <w:pPr>
        <w:tabs>
          <w:tab w:val="left" w:pos="7382"/>
        </w:tabs>
      </w:pPr>
      <w:r>
        <w:tab/>
      </w:r>
    </w:p>
    <w:p w:rsidR="00471C53" w:rsidRPr="00471C53" w:rsidRDefault="00471C53" w:rsidP="00471C53">
      <w:pPr>
        <w:tabs>
          <w:tab w:val="left" w:pos="7382"/>
        </w:tabs>
      </w:pPr>
    </w:p>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471C53"/>
    <w:p w:rsidR="00471C53" w:rsidRPr="00471C53" w:rsidRDefault="00471C53" w:rsidP="003504A7">
      <w:pPr>
        <w:jc w:val="center"/>
      </w:pPr>
    </w:p>
    <w:p w:rsidR="00471C53" w:rsidRPr="00471C53" w:rsidRDefault="00471C53" w:rsidP="00471C53"/>
    <w:p w:rsidR="00471C53" w:rsidRPr="00471C53" w:rsidRDefault="00471C53" w:rsidP="00471C53"/>
    <w:p w:rsidR="00457111" w:rsidRDefault="00457111" w:rsidP="00BC35BB">
      <w:pPr>
        <w:pStyle w:val="Textoindependiente"/>
        <w:spacing w:line="259" w:lineRule="auto"/>
        <w:ind w:left="118" w:right="233"/>
        <w:jc w:val="both"/>
      </w:pPr>
    </w:p>
    <w:sectPr w:rsidR="00457111" w:rsidSect="00457111">
      <w:headerReference w:type="default" r:id="rId7"/>
      <w:pgSz w:w="11910" w:h="16840"/>
      <w:pgMar w:top="1660" w:right="1180" w:bottom="280" w:left="1300" w:header="73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69" w:rsidRDefault="00F42769" w:rsidP="00457111">
      <w:r>
        <w:separator/>
      </w:r>
    </w:p>
  </w:endnote>
  <w:endnote w:type="continuationSeparator" w:id="0">
    <w:p w:rsidR="00F42769" w:rsidRDefault="00F42769" w:rsidP="00457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69" w:rsidRDefault="00F42769" w:rsidP="00457111">
      <w:r>
        <w:separator/>
      </w:r>
    </w:p>
  </w:footnote>
  <w:footnote w:type="continuationSeparator" w:id="0">
    <w:p w:rsidR="00F42769" w:rsidRDefault="00F42769" w:rsidP="0045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E6" w:rsidRPr="0063465A" w:rsidRDefault="00972BE6" w:rsidP="007A0FF6">
    <w:pPr>
      <w:jc w:val="center"/>
      <w:rPr>
        <w:rFonts w:asciiTheme="majorHAnsi" w:hAnsiTheme="majorHAnsi"/>
        <w:b/>
        <w:color w:val="008000"/>
        <w:szCs w:val="20"/>
      </w:rPr>
    </w:pPr>
    <w:r w:rsidRPr="00A114FC">
      <w:rPr>
        <w:rFonts w:ascii="Arial Narrow" w:hAnsi="Arial Narrow"/>
        <w:b/>
        <w:noProof/>
        <w:color w:val="008000"/>
        <w:szCs w:val="20"/>
        <w:lang w:eastAsia="es-PE"/>
      </w:rPr>
      <w:drawing>
        <wp:anchor distT="0" distB="0" distL="114300" distR="114300" simplePos="0" relativeHeight="251659264" behindDoc="1" locked="0" layoutInCell="1" allowOverlap="1">
          <wp:simplePos x="0" y="0"/>
          <wp:positionH relativeFrom="column">
            <wp:posOffset>-38100</wp:posOffset>
          </wp:positionH>
          <wp:positionV relativeFrom="paragraph">
            <wp:posOffset>-306070</wp:posOffset>
          </wp:positionV>
          <wp:extent cx="1123950" cy="946150"/>
          <wp:effectExtent l="19050" t="0" r="0" b="0"/>
          <wp:wrapTight wrapText="bothSides">
            <wp:wrapPolygon edited="0">
              <wp:start x="-366" y="0"/>
              <wp:lineTo x="-366" y="21310"/>
              <wp:lineTo x="21600" y="21310"/>
              <wp:lineTo x="21600" y="0"/>
              <wp:lineTo x="-366" y="0"/>
            </wp:wrapPolygon>
          </wp:wrapTight>
          <wp:docPr id="4"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cstate="print"/>
                  <a:srcRect/>
                  <a:stretch>
                    <a:fillRect/>
                  </a:stretch>
                </pic:blipFill>
                <pic:spPr bwMode="auto">
                  <a:xfrm>
                    <a:off x="0" y="0"/>
                    <a:ext cx="1123950" cy="946150"/>
                  </a:xfrm>
                  <a:prstGeom prst="rect">
                    <a:avLst/>
                  </a:prstGeom>
                  <a:noFill/>
                  <a:ln w="9525">
                    <a:noFill/>
                    <a:miter lim="800000"/>
                    <a:headEnd/>
                    <a:tailEnd/>
                  </a:ln>
                </pic:spPr>
              </pic:pic>
            </a:graphicData>
          </a:graphic>
        </wp:anchor>
      </w:drawing>
    </w:r>
    <w:r w:rsidRPr="0063465A">
      <w:rPr>
        <w:rFonts w:asciiTheme="majorHAnsi" w:hAnsiTheme="majorHAnsi"/>
        <w:b/>
        <w:color w:val="008000"/>
        <w:szCs w:val="20"/>
      </w:rPr>
      <w:t>MUNICI</w:t>
    </w:r>
    <w:r>
      <w:rPr>
        <w:rFonts w:asciiTheme="majorHAnsi" w:hAnsiTheme="majorHAnsi"/>
        <w:b/>
        <w:color w:val="008000"/>
        <w:szCs w:val="20"/>
      </w:rPr>
      <w:t>PALIDAD DISTRITAL DE LOS OLIVOS</w:t>
    </w:r>
  </w:p>
  <w:p w:rsidR="00972BE6" w:rsidRPr="00972BE6" w:rsidRDefault="00972BE6" w:rsidP="007A0FF6">
    <w:pPr>
      <w:snapToGrid w:val="0"/>
      <w:jc w:val="center"/>
      <w:rPr>
        <w:rFonts w:ascii="Arial Narrow" w:eastAsia="Arial Unicode MS" w:hAnsi="Arial Narrow" w:cs="Lucida Sans Unicode"/>
        <w:color w:val="008000"/>
        <w:szCs w:val="20"/>
        <w:lang w:val="es-MX"/>
      </w:rPr>
    </w:pPr>
    <w:r w:rsidRPr="00972BE6">
      <w:rPr>
        <w:rFonts w:ascii="Arial Narrow" w:eastAsia="Arial Unicode MS" w:hAnsi="Arial Narrow" w:cs="Lucida Sans Unicode"/>
        <w:b/>
        <w:color w:val="008000"/>
        <w:szCs w:val="20"/>
        <w:lang w:val="es-MX"/>
      </w:rPr>
      <w:t>Gerencia de Recursos Humanos</w:t>
    </w:r>
  </w:p>
  <w:p w:rsidR="00972BE6" w:rsidRPr="00A114FC" w:rsidRDefault="00972BE6" w:rsidP="00972BE6">
    <w:pPr>
      <w:snapToGrid w:val="0"/>
      <w:jc w:val="center"/>
      <w:rPr>
        <w:rFonts w:ascii="Arial Narrow" w:eastAsia="Arial Unicode MS" w:hAnsi="Arial Narrow" w:cs="Lucida Sans Unicode"/>
        <w:color w:val="008000"/>
        <w:szCs w:val="20"/>
        <w:lang w:val="es-MX"/>
      </w:rPr>
    </w:pPr>
    <w:r w:rsidRPr="00A114FC">
      <w:rPr>
        <w:rFonts w:ascii="Arial Narrow" w:eastAsia="Arial Unicode MS" w:hAnsi="Arial Narrow" w:cs="Lucida Sans Unicode"/>
        <w:b/>
        <w:color w:val="008000"/>
        <w:szCs w:val="20"/>
        <w:lang w:val="es-MX"/>
      </w:rPr>
      <w:t xml:space="preserve">  </w:t>
    </w:r>
  </w:p>
  <w:p w:rsidR="00972BE6" w:rsidRDefault="00972BE6" w:rsidP="00972BE6">
    <w:pPr>
      <w:pStyle w:val="Encabezado"/>
      <w:jc w:val="center"/>
    </w:pPr>
    <w:r w:rsidRPr="00390742">
      <w:rPr>
        <w:rFonts w:asciiTheme="majorHAnsi" w:eastAsia="Arial Unicode MS" w:hAnsiTheme="majorHAnsi" w:cs="Lucida Sans Unicode"/>
        <w:b/>
        <w:color w:val="000000"/>
        <w:lang w:val="es-MX"/>
      </w:rPr>
      <w:t>"AÑO DE LA LUCHA CONTRA LA CORRUPCIÓN E IMPUNIDAD</w:t>
    </w:r>
  </w:p>
  <w:p w:rsidR="00457111" w:rsidRDefault="00457111">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508A"/>
    <w:multiLevelType w:val="hybridMultilevel"/>
    <w:tmpl w:val="F0B85AB4"/>
    <w:lvl w:ilvl="0" w:tplc="077A1CE8">
      <w:start w:val="1"/>
      <w:numFmt w:val="lowerRoman"/>
      <w:lvlText w:val="%1)"/>
      <w:lvlJc w:val="left"/>
      <w:pPr>
        <w:ind w:left="826" w:hanging="348"/>
        <w:jc w:val="left"/>
      </w:pPr>
      <w:rPr>
        <w:rFonts w:ascii="Calibri" w:eastAsia="Calibri" w:hAnsi="Calibri" w:cs="Calibri" w:hint="default"/>
        <w:spacing w:val="-1"/>
        <w:w w:val="100"/>
        <w:sz w:val="22"/>
        <w:szCs w:val="22"/>
        <w:lang w:val="es-ES" w:eastAsia="es-ES" w:bidi="es-ES"/>
      </w:rPr>
    </w:lvl>
    <w:lvl w:ilvl="1" w:tplc="43F0CC72">
      <w:numFmt w:val="bullet"/>
      <w:lvlText w:val="•"/>
      <w:lvlJc w:val="left"/>
      <w:pPr>
        <w:ind w:left="1680" w:hanging="348"/>
      </w:pPr>
      <w:rPr>
        <w:rFonts w:hint="default"/>
        <w:lang w:val="es-ES" w:eastAsia="es-ES" w:bidi="es-ES"/>
      </w:rPr>
    </w:lvl>
    <w:lvl w:ilvl="2" w:tplc="CB3095FE">
      <w:numFmt w:val="bullet"/>
      <w:lvlText w:val="•"/>
      <w:lvlJc w:val="left"/>
      <w:pPr>
        <w:ind w:left="2541" w:hanging="348"/>
      </w:pPr>
      <w:rPr>
        <w:rFonts w:hint="default"/>
        <w:lang w:val="es-ES" w:eastAsia="es-ES" w:bidi="es-ES"/>
      </w:rPr>
    </w:lvl>
    <w:lvl w:ilvl="3" w:tplc="CF80FEE0">
      <w:numFmt w:val="bullet"/>
      <w:lvlText w:val="•"/>
      <w:lvlJc w:val="left"/>
      <w:pPr>
        <w:ind w:left="3401" w:hanging="348"/>
      </w:pPr>
      <w:rPr>
        <w:rFonts w:hint="default"/>
        <w:lang w:val="es-ES" w:eastAsia="es-ES" w:bidi="es-ES"/>
      </w:rPr>
    </w:lvl>
    <w:lvl w:ilvl="4" w:tplc="7E8E9152">
      <w:numFmt w:val="bullet"/>
      <w:lvlText w:val="•"/>
      <w:lvlJc w:val="left"/>
      <w:pPr>
        <w:ind w:left="4262" w:hanging="348"/>
      </w:pPr>
      <w:rPr>
        <w:rFonts w:hint="default"/>
        <w:lang w:val="es-ES" w:eastAsia="es-ES" w:bidi="es-ES"/>
      </w:rPr>
    </w:lvl>
    <w:lvl w:ilvl="5" w:tplc="6B12EDE2">
      <w:numFmt w:val="bullet"/>
      <w:lvlText w:val="•"/>
      <w:lvlJc w:val="left"/>
      <w:pPr>
        <w:ind w:left="5123" w:hanging="348"/>
      </w:pPr>
      <w:rPr>
        <w:rFonts w:hint="default"/>
        <w:lang w:val="es-ES" w:eastAsia="es-ES" w:bidi="es-ES"/>
      </w:rPr>
    </w:lvl>
    <w:lvl w:ilvl="6" w:tplc="AE242E68">
      <w:numFmt w:val="bullet"/>
      <w:lvlText w:val="•"/>
      <w:lvlJc w:val="left"/>
      <w:pPr>
        <w:ind w:left="5983" w:hanging="348"/>
      </w:pPr>
      <w:rPr>
        <w:rFonts w:hint="default"/>
        <w:lang w:val="es-ES" w:eastAsia="es-ES" w:bidi="es-ES"/>
      </w:rPr>
    </w:lvl>
    <w:lvl w:ilvl="7" w:tplc="AD24DACA">
      <w:numFmt w:val="bullet"/>
      <w:lvlText w:val="•"/>
      <w:lvlJc w:val="left"/>
      <w:pPr>
        <w:ind w:left="6844" w:hanging="348"/>
      </w:pPr>
      <w:rPr>
        <w:rFonts w:hint="default"/>
        <w:lang w:val="es-ES" w:eastAsia="es-ES" w:bidi="es-ES"/>
      </w:rPr>
    </w:lvl>
    <w:lvl w:ilvl="8" w:tplc="01600966">
      <w:numFmt w:val="bullet"/>
      <w:lvlText w:val="•"/>
      <w:lvlJc w:val="left"/>
      <w:pPr>
        <w:ind w:left="7705" w:hanging="348"/>
      </w:pPr>
      <w:rPr>
        <w:rFonts w:hint="default"/>
        <w:lang w:val="es-ES" w:eastAsia="es-ES" w:bidi="es-ES"/>
      </w:rPr>
    </w:lvl>
  </w:abstractNum>
  <w:abstractNum w:abstractNumId="1">
    <w:nsid w:val="1D65518D"/>
    <w:multiLevelType w:val="hybridMultilevel"/>
    <w:tmpl w:val="426EDEFC"/>
    <w:lvl w:ilvl="0" w:tplc="745A324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B1323A4"/>
    <w:multiLevelType w:val="hybridMultilevel"/>
    <w:tmpl w:val="E0B0735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nsid w:val="353F689F"/>
    <w:multiLevelType w:val="hybridMultilevel"/>
    <w:tmpl w:val="F3A83796"/>
    <w:lvl w:ilvl="0" w:tplc="E584A70C">
      <w:start w:val="1"/>
      <w:numFmt w:val="decimal"/>
      <w:lvlText w:val="%1."/>
      <w:lvlJc w:val="left"/>
      <w:pPr>
        <w:ind w:left="826" w:hanging="348"/>
        <w:jc w:val="left"/>
      </w:pPr>
      <w:rPr>
        <w:rFonts w:ascii="Calibri" w:eastAsia="Calibri" w:hAnsi="Calibri" w:cs="Calibri" w:hint="default"/>
        <w:w w:val="100"/>
        <w:sz w:val="22"/>
        <w:szCs w:val="22"/>
        <w:lang w:val="es-ES" w:eastAsia="es-ES" w:bidi="es-ES"/>
      </w:rPr>
    </w:lvl>
    <w:lvl w:ilvl="1" w:tplc="17A8D42E">
      <w:numFmt w:val="bullet"/>
      <w:lvlText w:val="•"/>
      <w:lvlJc w:val="left"/>
      <w:pPr>
        <w:ind w:left="1680" w:hanging="348"/>
      </w:pPr>
      <w:rPr>
        <w:rFonts w:hint="default"/>
        <w:lang w:val="es-ES" w:eastAsia="es-ES" w:bidi="es-ES"/>
      </w:rPr>
    </w:lvl>
    <w:lvl w:ilvl="2" w:tplc="77FECC02">
      <w:numFmt w:val="bullet"/>
      <w:lvlText w:val="•"/>
      <w:lvlJc w:val="left"/>
      <w:pPr>
        <w:ind w:left="2541" w:hanging="348"/>
      </w:pPr>
      <w:rPr>
        <w:rFonts w:hint="default"/>
        <w:lang w:val="es-ES" w:eastAsia="es-ES" w:bidi="es-ES"/>
      </w:rPr>
    </w:lvl>
    <w:lvl w:ilvl="3" w:tplc="E780BC84">
      <w:numFmt w:val="bullet"/>
      <w:lvlText w:val="•"/>
      <w:lvlJc w:val="left"/>
      <w:pPr>
        <w:ind w:left="3401" w:hanging="348"/>
      </w:pPr>
      <w:rPr>
        <w:rFonts w:hint="default"/>
        <w:lang w:val="es-ES" w:eastAsia="es-ES" w:bidi="es-ES"/>
      </w:rPr>
    </w:lvl>
    <w:lvl w:ilvl="4" w:tplc="9342F374">
      <w:numFmt w:val="bullet"/>
      <w:lvlText w:val="•"/>
      <w:lvlJc w:val="left"/>
      <w:pPr>
        <w:ind w:left="4262" w:hanging="348"/>
      </w:pPr>
      <w:rPr>
        <w:rFonts w:hint="default"/>
        <w:lang w:val="es-ES" w:eastAsia="es-ES" w:bidi="es-ES"/>
      </w:rPr>
    </w:lvl>
    <w:lvl w:ilvl="5" w:tplc="292E266A">
      <w:numFmt w:val="bullet"/>
      <w:lvlText w:val="•"/>
      <w:lvlJc w:val="left"/>
      <w:pPr>
        <w:ind w:left="5123" w:hanging="348"/>
      </w:pPr>
      <w:rPr>
        <w:rFonts w:hint="default"/>
        <w:lang w:val="es-ES" w:eastAsia="es-ES" w:bidi="es-ES"/>
      </w:rPr>
    </w:lvl>
    <w:lvl w:ilvl="6" w:tplc="F408A024">
      <w:numFmt w:val="bullet"/>
      <w:lvlText w:val="•"/>
      <w:lvlJc w:val="left"/>
      <w:pPr>
        <w:ind w:left="5983" w:hanging="348"/>
      </w:pPr>
      <w:rPr>
        <w:rFonts w:hint="default"/>
        <w:lang w:val="es-ES" w:eastAsia="es-ES" w:bidi="es-ES"/>
      </w:rPr>
    </w:lvl>
    <w:lvl w:ilvl="7" w:tplc="27F68AE4">
      <w:numFmt w:val="bullet"/>
      <w:lvlText w:val="•"/>
      <w:lvlJc w:val="left"/>
      <w:pPr>
        <w:ind w:left="6844" w:hanging="348"/>
      </w:pPr>
      <w:rPr>
        <w:rFonts w:hint="default"/>
        <w:lang w:val="es-ES" w:eastAsia="es-ES" w:bidi="es-ES"/>
      </w:rPr>
    </w:lvl>
    <w:lvl w:ilvl="8" w:tplc="D9FC48E0">
      <w:numFmt w:val="bullet"/>
      <w:lvlText w:val="•"/>
      <w:lvlJc w:val="left"/>
      <w:pPr>
        <w:ind w:left="7705" w:hanging="348"/>
      </w:pPr>
      <w:rPr>
        <w:rFonts w:hint="default"/>
        <w:lang w:val="es-ES" w:eastAsia="es-ES" w:bidi="es-ES"/>
      </w:rPr>
    </w:lvl>
  </w:abstractNum>
  <w:abstractNum w:abstractNumId="4">
    <w:nsid w:val="48E36AE6"/>
    <w:multiLevelType w:val="hybridMultilevel"/>
    <w:tmpl w:val="8654B082"/>
    <w:lvl w:ilvl="0" w:tplc="280A0001">
      <w:start w:val="1"/>
      <w:numFmt w:val="bullet"/>
      <w:lvlText w:val=""/>
      <w:lvlJc w:val="left"/>
      <w:pPr>
        <w:ind w:left="4920" w:hanging="360"/>
      </w:pPr>
      <w:rPr>
        <w:rFonts w:ascii="Symbol" w:hAnsi="Symbol" w:hint="default"/>
      </w:rPr>
    </w:lvl>
    <w:lvl w:ilvl="1" w:tplc="280A0003" w:tentative="1">
      <w:start w:val="1"/>
      <w:numFmt w:val="bullet"/>
      <w:lvlText w:val="o"/>
      <w:lvlJc w:val="left"/>
      <w:pPr>
        <w:ind w:left="5640" w:hanging="360"/>
      </w:pPr>
      <w:rPr>
        <w:rFonts w:ascii="Courier New" w:hAnsi="Courier New" w:cs="Courier New" w:hint="default"/>
      </w:rPr>
    </w:lvl>
    <w:lvl w:ilvl="2" w:tplc="280A0005" w:tentative="1">
      <w:start w:val="1"/>
      <w:numFmt w:val="bullet"/>
      <w:lvlText w:val=""/>
      <w:lvlJc w:val="left"/>
      <w:pPr>
        <w:ind w:left="6360" w:hanging="360"/>
      </w:pPr>
      <w:rPr>
        <w:rFonts w:ascii="Wingdings" w:hAnsi="Wingdings" w:hint="default"/>
      </w:rPr>
    </w:lvl>
    <w:lvl w:ilvl="3" w:tplc="280A0001" w:tentative="1">
      <w:start w:val="1"/>
      <w:numFmt w:val="bullet"/>
      <w:lvlText w:val=""/>
      <w:lvlJc w:val="left"/>
      <w:pPr>
        <w:ind w:left="7080" w:hanging="360"/>
      </w:pPr>
      <w:rPr>
        <w:rFonts w:ascii="Symbol" w:hAnsi="Symbol" w:hint="default"/>
      </w:rPr>
    </w:lvl>
    <w:lvl w:ilvl="4" w:tplc="280A0003" w:tentative="1">
      <w:start w:val="1"/>
      <w:numFmt w:val="bullet"/>
      <w:lvlText w:val="o"/>
      <w:lvlJc w:val="left"/>
      <w:pPr>
        <w:ind w:left="7800" w:hanging="360"/>
      </w:pPr>
      <w:rPr>
        <w:rFonts w:ascii="Courier New" w:hAnsi="Courier New" w:cs="Courier New" w:hint="default"/>
      </w:rPr>
    </w:lvl>
    <w:lvl w:ilvl="5" w:tplc="280A0005" w:tentative="1">
      <w:start w:val="1"/>
      <w:numFmt w:val="bullet"/>
      <w:lvlText w:val=""/>
      <w:lvlJc w:val="left"/>
      <w:pPr>
        <w:ind w:left="8520" w:hanging="360"/>
      </w:pPr>
      <w:rPr>
        <w:rFonts w:ascii="Wingdings" w:hAnsi="Wingdings" w:hint="default"/>
      </w:rPr>
    </w:lvl>
    <w:lvl w:ilvl="6" w:tplc="280A0001" w:tentative="1">
      <w:start w:val="1"/>
      <w:numFmt w:val="bullet"/>
      <w:lvlText w:val=""/>
      <w:lvlJc w:val="left"/>
      <w:pPr>
        <w:ind w:left="9240" w:hanging="360"/>
      </w:pPr>
      <w:rPr>
        <w:rFonts w:ascii="Symbol" w:hAnsi="Symbol" w:hint="default"/>
      </w:rPr>
    </w:lvl>
    <w:lvl w:ilvl="7" w:tplc="280A0003" w:tentative="1">
      <w:start w:val="1"/>
      <w:numFmt w:val="bullet"/>
      <w:lvlText w:val="o"/>
      <w:lvlJc w:val="left"/>
      <w:pPr>
        <w:ind w:left="9960" w:hanging="360"/>
      </w:pPr>
      <w:rPr>
        <w:rFonts w:ascii="Courier New" w:hAnsi="Courier New" w:cs="Courier New" w:hint="default"/>
      </w:rPr>
    </w:lvl>
    <w:lvl w:ilvl="8" w:tplc="280A0005" w:tentative="1">
      <w:start w:val="1"/>
      <w:numFmt w:val="bullet"/>
      <w:lvlText w:val=""/>
      <w:lvlJc w:val="left"/>
      <w:pPr>
        <w:ind w:left="10680" w:hanging="360"/>
      </w:pPr>
      <w:rPr>
        <w:rFonts w:ascii="Wingdings" w:hAnsi="Wingdings" w:hint="default"/>
      </w:rPr>
    </w:lvl>
  </w:abstractNum>
  <w:abstractNum w:abstractNumId="5">
    <w:nsid w:val="4CF772E1"/>
    <w:multiLevelType w:val="hybridMultilevel"/>
    <w:tmpl w:val="E7F2D456"/>
    <w:lvl w:ilvl="0" w:tplc="8E5864B2">
      <w:start w:val="1"/>
      <w:numFmt w:val="lowerRoman"/>
      <w:lvlText w:val="%1)"/>
      <w:lvlJc w:val="left"/>
      <w:pPr>
        <w:ind w:left="826" w:hanging="348"/>
        <w:jc w:val="left"/>
      </w:pPr>
      <w:rPr>
        <w:rFonts w:ascii="Calibri" w:eastAsia="Calibri" w:hAnsi="Calibri" w:cs="Calibri" w:hint="default"/>
        <w:spacing w:val="-1"/>
        <w:w w:val="100"/>
        <w:sz w:val="22"/>
        <w:szCs w:val="22"/>
        <w:lang w:val="es-ES" w:eastAsia="es-ES" w:bidi="es-ES"/>
      </w:rPr>
    </w:lvl>
    <w:lvl w:ilvl="1" w:tplc="80A4739E">
      <w:numFmt w:val="bullet"/>
      <w:lvlText w:val="•"/>
      <w:lvlJc w:val="left"/>
      <w:pPr>
        <w:ind w:left="1680" w:hanging="348"/>
      </w:pPr>
      <w:rPr>
        <w:rFonts w:hint="default"/>
        <w:lang w:val="es-ES" w:eastAsia="es-ES" w:bidi="es-ES"/>
      </w:rPr>
    </w:lvl>
    <w:lvl w:ilvl="2" w:tplc="F020BA2C">
      <w:numFmt w:val="bullet"/>
      <w:lvlText w:val="•"/>
      <w:lvlJc w:val="left"/>
      <w:pPr>
        <w:ind w:left="2541" w:hanging="348"/>
      </w:pPr>
      <w:rPr>
        <w:rFonts w:hint="default"/>
        <w:lang w:val="es-ES" w:eastAsia="es-ES" w:bidi="es-ES"/>
      </w:rPr>
    </w:lvl>
    <w:lvl w:ilvl="3" w:tplc="D11816F6">
      <w:numFmt w:val="bullet"/>
      <w:lvlText w:val="•"/>
      <w:lvlJc w:val="left"/>
      <w:pPr>
        <w:ind w:left="3401" w:hanging="348"/>
      </w:pPr>
      <w:rPr>
        <w:rFonts w:hint="default"/>
        <w:lang w:val="es-ES" w:eastAsia="es-ES" w:bidi="es-ES"/>
      </w:rPr>
    </w:lvl>
    <w:lvl w:ilvl="4" w:tplc="3AECC038">
      <w:numFmt w:val="bullet"/>
      <w:lvlText w:val="•"/>
      <w:lvlJc w:val="left"/>
      <w:pPr>
        <w:ind w:left="4262" w:hanging="348"/>
      </w:pPr>
      <w:rPr>
        <w:rFonts w:hint="default"/>
        <w:lang w:val="es-ES" w:eastAsia="es-ES" w:bidi="es-ES"/>
      </w:rPr>
    </w:lvl>
    <w:lvl w:ilvl="5" w:tplc="B1C2D5D2">
      <w:numFmt w:val="bullet"/>
      <w:lvlText w:val="•"/>
      <w:lvlJc w:val="left"/>
      <w:pPr>
        <w:ind w:left="5123" w:hanging="348"/>
      </w:pPr>
      <w:rPr>
        <w:rFonts w:hint="default"/>
        <w:lang w:val="es-ES" w:eastAsia="es-ES" w:bidi="es-ES"/>
      </w:rPr>
    </w:lvl>
    <w:lvl w:ilvl="6" w:tplc="7E2A8B5C">
      <w:numFmt w:val="bullet"/>
      <w:lvlText w:val="•"/>
      <w:lvlJc w:val="left"/>
      <w:pPr>
        <w:ind w:left="5983" w:hanging="348"/>
      </w:pPr>
      <w:rPr>
        <w:rFonts w:hint="default"/>
        <w:lang w:val="es-ES" w:eastAsia="es-ES" w:bidi="es-ES"/>
      </w:rPr>
    </w:lvl>
    <w:lvl w:ilvl="7" w:tplc="C714D9EC">
      <w:numFmt w:val="bullet"/>
      <w:lvlText w:val="•"/>
      <w:lvlJc w:val="left"/>
      <w:pPr>
        <w:ind w:left="6844" w:hanging="348"/>
      </w:pPr>
      <w:rPr>
        <w:rFonts w:hint="default"/>
        <w:lang w:val="es-ES" w:eastAsia="es-ES" w:bidi="es-ES"/>
      </w:rPr>
    </w:lvl>
    <w:lvl w:ilvl="8" w:tplc="C16AAB6E">
      <w:numFmt w:val="bullet"/>
      <w:lvlText w:val="•"/>
      <w:lvlJc w:val="left"/>
      <w:pPr>
        <w:ind w:left="7705" w:hanging="348"/>
      </w:pPr>
      <w:rPr>
        <w:rFonts w:hint="default"/>
        <w:lang w:val="es-ES" w:eastAsia="es-ES" w:bidi="es-ES"/>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457111"/>
    <w:rsid w:val="00304FEA"/>
    <w:rsid w:val="003504A7"/>
    <w:rsid w:val="004274DF"/>
    <w:rsid w:val="00457111"/>
    <w:rsid w:val="00471C53"/>
    <w:rsid w:val="00482520"/>
    <w:rsid w:val="005A6722"/>
    <w:rsid w:val="00677350"/>
    <w:rsid w:val="007A0FF6"/>
    <w:rsid w:val="00972BE6"/>
    <w:rsid w:val="00A4171D"/>
    <w:rsid w:val="00AA70CE"/>
    <w:rsid w:val="00B0576D"/>
    <w:rsid w:val="00BC35BB"/>
    <w:rsid w:val="00CE6F66"/>
    <w:rsid w:val="00F4276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7111"/>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57111"/>
    <w:tblPr>
      <w:tblInd w:w="0" w:type="dxa"/>
      <w:tblCellMar>
        <w:top w:w="0" w:type="dxa"/>
        <w:left w:w="0" w:type="dxa"/>
        <w:bottom w:w="0" w:type="dxa"/>
        <w:right w:w="0" w:type="dxa"/>
      </w:tblCellMar>
    </w:tblPr>
  </w:style>
  <w:style w:type="paragraph" w:styleId="Textoindependiente">
    <w:name w:val="Body Text"/>
    <w:basedOn w:val="Normal"/>
    <w:uiPriority w:val="1"/>
    <w:qFormat/>
    <w:rsid w:val="00457111"/>
  </w:style>
  <w:style w:type="paragraph" w:customStyle="1" w:styleId="Heading1">
    <w:name w:val="Heading 1"/>
    <w:basedOn w:val="Normal"/>
    <w:uiPriority w:val="1"/>
    <w:qFormat/>
    <w:rsid w:val="00457111"/>
    <w:pPr>
      <w:ind w:left="118"/>
      <w:jc w:val="center"/>
      <w:outlineLvl w:val="1"/>
    </w:pPr>
    <w:rPr>
      <w:b/>
      <w:bCs/>
      <w:sz w:val="24"/>
      <w:szCs w:val="24"/>
    </w:rPr>
  </w:style>
  <w:style w:type="paragraph" w:customStyle="1" w:styleId="Heading2">
    <w:name w:val="Heading 2"/>
    <w:basedOn w:val="Normal"/>
    <w:uiPriority w:val="1"/>
    <w:qFormat/>
    <w:rsid w:val="00457111"/>
    <w:pPr>
      <w:spacing w:before="56"/>
      <w:ind w:left="118"/>
      <w:outlineLvl w:val="2"/>
    </w:pPr>
    <w:rPr>
      <w:b/>
      <w:bCs/>
      <w:u w:val="single" w:color="000000"/>
    </w:rPr>
  </w:style>
  <w:style w:type="paragraph" w:styleId="Prrafodelista">
    <w:name w:val="List Paragraph"/>
    <w:basedOn w:val="Normal"/>
    <w:uiPriority w:val="34"/>
    <w:qFormat/>
    <w:rsid w:val="00457111"/>
    <w:pPr>
      <w:spacing w:before="22"/>
      <w:ind w:left="826" w:hanging="349"/>
    </w:pPr>
  </w:style>
  <w:style w:type="paragraph" w:customStyle="1" w:styleId="TableParagraph">
    <w:name w:val="Table Paragraph"/>
    <w:basedOn w:val="Normal"/>
    <w:uiPriority w:val="1"/>
    <w:qFormat/>
    <w:rsid w:val="00457111"/>
    <w:pPr>
      <w:spacing w:before="191"/>
      <w:ind w:left="107"/>
    </w:pPr>
  </w:style>
  <w:style w:type="paragraph" w:styleId="Encabezado">
    <w:name w:val="header"/>
    <w:basedOn w:val="Normal"/>
    <w:link w:val="EncabezadoCar"/>
    <w:uiPriority w:val="99"/>
    <w:unhideWhenUsed/>
    <w:rsid w:val="00972BE6"/>
    <w:pPr>
      <w:tabs>
        <w:tab w:val="center" w:pos="4419"/>
        <w:tab w:val="right" w:pos="8838"/>
      </w:tabs>
    </w:pPr>
  </w:style>
  <w:style w:type="character" w:customStyle="1" w:styleId="EncabezadoCar">
    <w:name w:val="Encabezado Car"/>
    <w:basedOn w:val="Fuentedeprrafopredeter"/>
    <w:link w:val="Encabezado"/>
    <w:uiPriority w:val="99"/>
    <w:rsid w:val="00972BE6"/>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972BE6"/>
    <w:pPr>
      <w:tabs>
        <w:tab w:val="center" w:pos="4419"/>
        <w:tab w:val="right" w:pos="8838"/>
      </w:tabs>
    </w:pPr>
  </w:style>
  <w:style w:type="character" w:customStyle="1" w:styleId="PiedepginaCar">
    <w:name w:val="Pie de página Car"/>
    <w:basedOn w:val="Fuentedeprrafopredeter"/>
    <w:link w:val="Piedepgina"/>
    <w:uiPriority w:val="99"/>
    <w:semiHidden/>
    <w:rsid w:val="00972BE6"/>
    <w:rPr>
      <w:rFonts w:ascii="Calibri" w:eastAsia="Calibri" w:hAnsi="Calibri" w:cs="Calibri"/>
      <w:lang w:val="es-ES" w:eastAsia="es-ES" w:bidi="es-ES"/>
    </w:rPr>
  </w:style>
  <w:style w:type="table" w:styleId="Tablaconcuadrcula">
    <w:name w:val="Table Grid"/>
    <w:basedOn w:val="Tablanormal"/>
    <w:uiPriority w:val="59"/>
    <w:rsid w:val="00471C53"/>
    <w:pPr>
      <w:widowControl/>
      <w:autoSpaceDE/>
      <w:autoSpaceDN/>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1C53"/>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C53"/>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BC35B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Sessy Betsy Alejos Sevillano de Escudero</dc:creator>
  <cp:lastModifiedBy>www.intercambiosvirtuales.org</cp:lastModifiedBy>
  <cp:revision>2</cp:revision>
  <cp:lastPrinted>2019-11-27T22:36:00Z</cp:lastPrinted>
  <dcterms:created xsi:type="dcterms:W3CDTF">2019-11-27T22:42:00Z</dcterms:created>
  <dcterms:modified xsi:type="dcterms:W3CDTF">2019-11-27T22:42:00Z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2013</vt:lpwstr>
  </property>
  <property fmtid="{D5CDD505-2E9C-101B-9397-08002B2CF9AE}" pid="4" name="LastSaved">
    <vt:filetime>2019-11-27T00:00:00Z</vt:filetime>
  </property>
</Properties>
</file>